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F4DA9"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611E18A6" w:rsidR="00126CD3" w:rsidRDefault="00505709" w:rsidP="006E472E">
      <w:pPr>
        <w:jc w:val="left"/>
      </w:pPr>
      <w:r w:rsidRPr="00126CD3">
        <w:rPr>
          <w:rFonts w:hint="eastAsia"/>
          <w:u w:val="single"/>
        </w:rPr>
        <w:t xml:space="preserve">　</w:t>
      </w:r>
      <w:r w:rsidR="00F47C19" w:rsidRPr="00F47C19">
        <w:rPr>
          <w:u w:val="single"/>
        </w:rPr>
        <w:t>屋久島森林管理署長</w:t>
      </w:r>
      <w:r w:rsidR="00F47C19">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E255"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12ABE666"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DE260D" w:rsidRPr="00DE260D">
        <w:rPr>
          <w:rFonts w:ascii="ＭＳ 明朝" w:hAnsi="ＭＳ 明朝" w:hint="eastAsia"/>
        </w:rPr>
        <w:t>４</w:t>
      </w:r>
      <w:r w:rsidRPr="00DE260D">
        <w:rPr>
          <w:rFonts w:ascii="ＭＳ 明朝" w:hAnsi="ＭＳ 明朝" w:hint="eastAsia"/>
        </w:rPr>
        <w:t>月頃）及び猟期前</w:t>
      </w:r>
      <w:r w:rsidR="00DE260D" w:rsidRPr="00DE260D">
        <w:rPr>
          <w:rFonts w:ascii="ＭＳ 明朝" w:hAnsi="ＭＳ 明朝" w:hint="eastAsia"/>
        </w:rPr>
        <w:t>（10月頃）</w:t>
      </w:r>
      <w:r>
        <w:rPr>
          <w:rFonts w:hint="eastAsia"/>
        </w:rPr>
        <w:t>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319E770D" w:rsidR="005A63DF" w:rsidRDefault="00DE260D"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r w:rsidR="005A63DF" w:rsidRPr="00A157BA">
        <w:t>http://www.rinya.maff.go.jp/</w:t>
      </w:r>
      <w:r>
        <w:rPr>
          <w:rFonts w:hint="eastAsia"/>
        </w:rPr>
        <w:t>kyusyu</w:t>
      </w:r>
      <w:r w:rsidR="005A63DF" w:rsidRPr="00A157BA">
        <w:t>/</w:t>
      </w:r>
    </w:p>
    <w:p w14:paraId="4481214E" w14:textId="77777777" w:rsidR="002B0762" w:rsidRPr="00DE260D"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62AF43AC" w:rsidR="00264415" w:rsidRDefault="002B0762" w:rsidP="00264415">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3B493"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7"/>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7DD0" w14:textId="77777777" w:rsidR="00884000" w:rsidRDefault="00884000" w:rsidP="00B778DB">
      <w:r>
        <w:separator/>
      </w:r>
    </w:p>
  </w:endnote>
  <w:endnote w:type="continuationSeparator" w:id="0">
    <w:p w14:paraId="631DEC6D" w14:textId="77777777" w:rsidR="00884000" w:rsidRDefault="0088400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52BA" w14:textId="77777777" w:rsidR="00884000" w:rsidRDefault="00884000" w:rsidP="00B778DB">
      <w:r>
        <w:rPr>
          <w:rFonts w:hint="eastAsia"/>
        </w:rPr>
        <w:separator/>
      </w:r>
    </w:p>
  </w:footnote>
  <w:footnote w:type="continuationSeparator" w:id="0">
    <w:p w14:paraId="42C39AD1" w14:textId="77777777" w:rsidR="00884000" w:rsidRDefault="0088400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101A7"/>
    <w:rsid w:val="00010E41"/>
    <w:rsid w:val="0002226E"/>
    <w:rsid w:val="00027DD8"/>
    <w:rsid w:val="00031428"/>
    <w:rsid w:val="00033FC1"/>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A97"/>
    <w:rsid w:val="001A2BF0"/>
    <w:rsid w:val="001A53F3"/>
    <w:rsid w:val="001B5E8B"/>
    <w:rsid w:val="001C0021"/>
    <w:rsid w:val="001C0141"/>
    <w:rsid w:val="001C5A31"/>
    <w:rsid w:val="001C78C9"/>
    <w:rsid w:val="001D3464"/>
    <w:rsid w:val="001F45D0"/>
    <w:rsid w:val="001F5B82"/>
    <w:rsid w:val="001F65FA"/>
    <w:rsid w:val="00203F0F"/>
    <w:rsid w:val="00204860"/>
    <w:rsid w:val="00206607"/>
    <w:rsid w:val="002067B2"/>
    <w:rsid w:val="00225A0A"/>
    <w:rsid w:val="0023140F"/>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5E36"/>
    <w:rsid w:val="0038314B"/>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7FDD"/>
    <w:rsid w:val="00403A64"/>
    <w:rsid w:val="0041023A"/>
    <w:rsid w:val="004171BD"/>
    <w:rsid w:val="004208D7"/>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C1E7D"/>
    <w:rsid w:val="004D22B2"/>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50559"/>
    <w:rsid w:val="00552649"/>
    <w:rsid w:val="005530BA"/>
    <w:rsid w:val="00553257"/>
    <w:rsid w:val="005558EF"/>
    <w:rsid w:val="005669F8"/>
    <w:rsid w:val="005716EB"/>
    <w:rsid w:val="005750F5"/>
    <w:rsid w:val="00576A53"/>
    <w:rsid w:val="00581735"/>
    <w:rsid w:val="005931ED"/>
    <w:rsid w:val="005966A7"/>
    <w:rsid w:val="00596E5F"/>
    <w:rsid w:val="005A63DF"/>
    <w:rsid w:val="005A7E10"/>
    <w:rsid w:val="005B3DAD"/>
    <w:rsid w:val="005D05D7"/>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57568"/>
    <w:rsid w:val="0077533A"/>
    <w:rsid w:val="0078085C"/>
    <w:rsid w:val="00782888"/>
    <w:rsid w:val="007A04D2"/>
    <w:rsid w:val="007A07A2"/>
    <w:rsid w:val="007A130E"/>
    <w:rsid w:val="007B2419"/>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4000"/>
    <w:rsid w:val="0088713B"/>
    <w:rsid w:val="00887346"/>
    <w:rsid w:val="00887848"/>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414C"/>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731F3"/>
    <w:rsid w:val="00B778DB"/>
    <w:rsid w:val="00B946BD"/>
    <w:rsid w:val="00BA4B9E"/>
    <w:rsid w:val="00BA4F3B"/>
    <w:rsid w:val="00BC0B67"/>
    <w:rsid w:val="00BD2534"/>
    <w:rsid w:val="00BE0BF8"/>
    <w:rsid w:val="00BE5360"/>
    <w:rsid w:val="00BE757A"/>
    <w:rsid w:val="00BF1A4C"/>
    <w:rsid w:val="00BF253C"/>
    <w:rsid w:val="00C050B8"/>
    <w:rsid w:val="00C100E7"/>
    <w:rsid w:val="00C25DDA"/>
    <w:rsid w:val="00C31F13"/>
    <w:rsid w:val="00C37271"/>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1970"/>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C2D75"/>
    <w:rsid w:val="00DC5EF8"/>
    <w:rsid w:val="00DD0720"/>
    <w:rsid w:val="00DD4616"/>
    <w:rsid w:val="00DE0063"/>
    <w:rsid w:val="00DE0C59"/>
    <w:rsid w:val="00DE260D"/>
    <w:rsid w:val="00DE53E0"/>
    <w:rsid w:val="00DF1231"/>
    <w:rsid w:val="00DF5E9B"/>
    <w:rsid w:val="00E12A36"/>
    <w:rsid w:val="00E13EC2"/>
    <w:rsid w:val="00E16280"/>
    <w:rsid w:val="00E213DF"/>
    <w:rsid w:val="00E40F9D"/>
    <w:rsid w:val="00E5636A"/>
    <w:rsid w:val="00E617B0"/>
    <w:rsid w:val="00E8350A"/>
    <w:rsid w:val="00E85507"/>
    <w:rsid w:val="00E8666A"/>
    <w:rsid w:val="00E91544"/>
    <w:rsid w:val="00EA2A33"/>
    <w:rsid w:val="00EA69A5"/>
    <w:rsid w:val="00EB2169"/>
    <w:rsid w:val="00EC1430"/>
    <w:rsid w:val="00ED5562"/>
    <w:rsid w:val="00ED564B"/>
    <w:rsid w:val="00EF4047"/>
    <w:rsid w:val="00F00191"/>
    <w:rsid w:val="00F001EB"/>
    <w:rsid w:val="00F02DD3"/>
    <w:rsid w:val="00F12E77"/>
    <w:rsid w:val="00F1622A"/>
    <w:rsid w:val="00F16C88"/>
    <w:rsid w:val="00F226CE"/>
    <w:rsid w:val="00F24415"/>
    <w:rsid w:val="00F26476"/>
    <w:rsid w:val="00F3080A"/>
    <w:rsid w:val="00F31535"/>
    <w:rsid w:val="00F32069"/>
    <w:rsid w:val="00F467E2"/>
    <w:rsid w:val="00F47C19"/>
    <w:rsid w:val="00F53BCE"/>
    <w:rsid w:val="00F62325"/>
    <w:rsid w:val="00F6527E"/>
    <w:rsid w:val="00F6794C"/>
    <w:rsid w:val="00F729E9"/>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2026-05-27T01:57:00Z</dcterms:created>
  <dcterms:modified xsi:type="dcterms:W3CDTF">2026-05-27T01:57:00Z</dcterms:modified>
</cp:coreProperties>
</file>